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E171" w14:textId="77777777" w:rsidR="006E5945" w:rsidRDefault="003E45E6" w:rsidP="007E0ABC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70-</w:t>
      </w:r>
      <w:r w:rsidR="006E5945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413: </w:t>
      </w:r>
      <w:r w:rsidR="006E5945" w:rsidRPr="006E5945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Designing and Implementing an Enterprise Server Infrastructure</w:t>
      </w:r>
    </w:p>
    <w:p w14:paraId="080A38EA" w14:textId="77777777" w:rsidR="00E123B6" w:rsidRDefault="00E123B6" w:rsidP="007E0ABC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p w14:paraId="0B36275A" w14:textId="38BE7061" w:rsidR="00E123B6" w:rsidRDefault="00E123B6" w:rsidP="007E0ABC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Audience Profile:</w:t>
      </w:r>
    </w:p>
    <w:p w14:paraId="5CEB8D28" w14:textId="7548AF8E" w:rsidR="007E0ABC" w:rsidRDefault="00E123B6" w:rsidP="00AC746D">
      <w:pPr>
        <w:spacing w:after="0" w:line="240" w:lineRule="auto"/>
        <w:rPr>
          <w:rFonts w:ascii="Segoe UI" w:hAnsi="Segoe UI" w:cs="Segoe UI"/>
          <w:color w:val="000000"/>
          <w:sz w:val="19"/>
          <w:szCs w:val="19"/>
          <w:lang w:val="en"/>
        </w:rPr>
      </w:pPr>
      <w:r>
        <w:rPr>
          <w:rFonts w:ascii="Segoe UI" w:hAnsi="Segoe UI" w:cs="Segoe UI"/>
          <w:color w:val="000000"/>
          <w:sz w:val="19"/>
          <w:szCs w:val="19"/>
          <w:lang w:val="en"/>
        </w:rPr>
        <w:t xml:space="preserve">This exam is part one of a series of two exams that test the skills and knowledge necessary to design, implement, and maintain a Windows Server 2012 </w:t>
      </w:r>
      <w:r w:rsidR="007943A3">
        <w:rPr>
          <w:rFonts w:ascii="Segoe UI" w:hAnsi="Segoe UI" w:cs="Segoe UI"/>
          <w:color w:val="000000"/>
          <w:sz w:val="19"/>
          <w:szCs w:val="19"/>
          <w:lang w:val="en"/>
        </w:rPr>
        <w:t xml:space="preserve">R2 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 xml:space="preserve">infrastructure in an enterprise scaled, highly virtualized environment. Passing this exam validates a candidate’s ability to plan, configure, manage, and implement the Windows Server 2012 </w:t>
      </w:r>
      <w:r w:rsidR="007943A3">
        <w:rPr>
          <w:rFonts w:ascii="Segoe UI" w:hAnsi="Segoe UI" w:cs="Segoe UI"/>
          <w:color w:val="000000"/>
          <w:sz w:val="19"/>
          <w:szCs w:val="19"/>
          <w:lang w:val="en"/>
        </w:rPr>
        <w:t xml:space="preserve">R2 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 xml:space="preserve">services, such as server deployment, server virtualization, and network access and infrastructure, identity and access, high availability, and the server infrastructure. Passing this exam along with the other exam confirms that a candidate has the skills and knowledge necessary for designing, deploying, and maintaining infrastructure services in a Windows Server 2012 </w:t>
      </w:r>
      <w:r w:rsidR="007943A3">
        <w:rPr>
          <w:rFonts w:ascii="Segoe UI" w:hAnsi="Segoe UI" w:cs="Segoe UI"/>
          <w:color w:val="000000"/>
          <w:sz w:val="19"/>
          <w:szCs w:val="19"/>
          <w:lang w:val="en"/>
        </w:rPr>
        <w:t xml:space="preserve">R2 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>environment.</w:t>
      </w:r>
    </w:p>
    <w:p w14:paraId="4B485048" w14:textId="77777777" w:rsidR="00712459" w:rsidRDefault="00712459" w:rsidP="00AC746D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p w14:paraId="539320F4" w14:textId="77777777" w:rsidR="00981D10" w:rsidRDefault="00981D10" w:rsidP="00AC746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Plan and Deploy a Server Infrastructure</w:t>
      </w:r>
    </w:p>
    <w:p w14:paraId="035A120B" w14:textId="77777777" w:rsidR="00C01724" w:rsidRPr="00C01724" w:rsidRDefault="00C01724" w:rsidP="00C01724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54"/>
        <w:gridCol w:w="8854"/>
      </w:tblGrid>
      <w:tr w:rsidR="00430B9E" w14:paraId="539B9F01" w14:textId="77777777" w:rsidTr="00C01724">
        <w:trPr>
          <w:trHeight w:val="273"/>
        </w:trPr>
        <w:tc>
          <w:tcPr>
            <w:tcW w:w="8854" w:type="dxa"/>
          </w:tcPr>
          <w:p w14:paraId="3FD27614" w14:textId="27659E44" w:rsidR="00430B9E" w:rsidRPr="00C01724" w:rsidRDefault="00A96A48" w:rsidP="00430B9E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4</w:t>
            </w:r>
            <w:bookmarkStart w:id="0" w:name="_GoBack"/>
            <w:bookmarkEnd w:id="0"/>
          </w:p>
        </w:tc>
        <w:tc>
          <w:tcPr>
            <w:tcW w:w="8854" w:type="dxa"/>
          </w:tcPr>
          <w:p w14:paraId="0808C5DF" w14:textId="23C1F122" w:rsidR="00430B9E" w:rsidRPr="00C01724" w:rsidRDefault="00A96A48" w:rsidP="00430B9E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added/updated April 4</w:t>
            </w:r>
          </w:p>
        </w:tc>
      </w:tr>
      <w:tr w:rsidR="00430B9E" w14:paraId="20FDD26A" w14:textId="77777777" w:rsidTr="00C01724">
        <w:trPr>
          <w:trHeight w:val="273"/>
        </w:trPr>
        <w:tc>
          <w:tcPr>
            <w:tcW w:w="8854" w:type="dxa"/>
          </w:tcPr>
          <w:p w14:paraId="768E5E6A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Design an automated server installation strategy</w:t>
            </w:r>
          </w:p>
          <w:p w14:paraId="7F5C70BD" w14:textId="271247D2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images and bare metal/virtual deployment; design a server implementation using Windows Assessment and Deployment Kit (ADK); design a virtual server deployment</w:t>
            </w:r>
          </w:p>
          <w:p w14:paraId="11854EC6" w14:textId="77777777" w:rsidR="00430B9E" w:rsidRPr="00FF7AEA" w:rsidRDefault="00430B9E" w:rsidP="00430B9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52083189" w14:textId="77777777" w:rsidR="00430B9E" w:rsidRPr="00FF7AEA" w:rsidRDefault="00C01724" w:rsidP="00430B9E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3C6D68AA" w14:textId="77777777" w:rsidR="00C01724" w:rsidRPr="00FF7AEA" w:rsidRDefault="00C01724" w:rsidP="00430B9E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and plan for an automated server installation strategy</w:t>
            </w:r>
          </w:p>
          <w:p w14:paraId="4825B463" w14:textId="77777777" w:rsidR="00C01724" w:rsidRPr="00FF7AEA" w:rsidRDefault="00C01724" w:rsidP="00430B9E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69862808" w14:textId="1A8B2560" w:rsidR="00C01724" w:rsidRPr="00FF7AEA" w:rsidRDefault="00C01724" w:rsidP="00430B9E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New:</w:t>
            </w:r>
          </w:p>
          <w:p w14:paraId="67258181" w14:textId="3483F8B3" w:rsidR="00C01724" w:rsidRPr="00FF7AEA" w:rsidRDefault="00C01724" w:rsidP="00430B9E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Plan for deploying servers to Windows Azure IaaS; plan for deploying servers to public and private cloud by using AppController and Windows PowerShell</w:t>
            </w:r>
          </w:p>
          <w:p w14:paraId="4C552856" w14:textId="77777777" w:rsidR="00C01724" w:rsidRPr="00FF7AEA" w:rsidRDefault="00C01724" w:rsidP="00430B9E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79F93844" w14:textId="77777777" w:rsidR="00C01724" w:rsidRPr="00FF7AEA" w:rsidRDefault="00C01724" w:rsidP="00430B9E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422BAFA3" w14:textId="45E8B3EF" w:rsidR="00C01724" w:rsidRPr="00FF7AEA" w:rsidRDefault="00C01724" w:rsidP="00430B9E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 including images and bare metal/virtual deployment; design a server implementation using Windows Assessment and Deployment Kit (ADK)</w:t>
            </w:r>
          </w:p>
        </w:tc>
      </w:tr>
      <w:tr w:rsidR="00430B9E" w14:paraId="5E9F7931" w14:textId="77777777" w:rsidTr="00C01724">
        <w:trPr>
          <w:trHeight w:val="273"/>
        </w:trPr>
        <w:tc>
          <w:tcPr>
            <w:tcW w:w="8854" w:type="dxa"/>
          </w:tcPr>
          <w:p w14:paraId="2DCE7BC2" w14:textId="68F07E6A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Plan and implement a server deployment infrastructure</w:t>
            </w:r>
          </w:p>
          <w:p w14:paraId="61B2A614" w14:textId="6DFB517D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Configure multicast deployment; configure multi-site topology and distribution points; configure a multi-server topology; configure autonomous and replica Windows Deployment Services (WDS) servers</w:t>
            </w:r>
          </w:p>
          <w:p w14:paraId="447DE9F3" w14:textId="77777777" w:rsidR="00430B9E" w:rsidRPr="00FF7AEA" w:rsidRDefault="00430B9E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78765E72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03BFEE05" w14:textId="634281BB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Configure multi-site topology and transport servers; implement a multi-server topology including standalone and Active Directory–integrated Windows Deployment Services (WDS) servers</w:t>
            </w:r>
          </w:p>
          <w:p w14:paraId="0977C312" w14:textId="77777777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751AD702" w14:textId="77777777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New:</w:t>
            </w:r>
          </w:p>
          <w:p w14:paraId="4E10B055" w14:textId="07299A6A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Deploy servers to Windows Azure IaaS; deploy servers to public and private cloud by using AppController and Windows PowerShell </w:t>
            </w:r>
          </w:p>
          <w:p w14:paraId="2D84E705" w14:textId="77777777" w:rsidR="00430B9E" w:rsidRPr="00FF7AEA" w:rsidRDefault="00430B9E" w:rsidP="00430B9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0B9E" w14:paraId="0CCA23DD" w14:textId="77777777" w:rsidTr="00C01724">
        <w:trPr>
          <w:trHeight w:val="273"/>
        </w:trPr>
        <w:tc>
          <w:tcPr>
            <w:tcW w:w="8854" w:type="dxa"/>
          </w:tcPr>
          <w:p w14:paraId="039272E7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Plan and implement server upgrade and migration</w:t>
            </w:r>
          </w:p>
          <w:p w14:paraId="244EA8AA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Plan for role migration; migrate server roles; migrate servers across domains and forests; design a server consolidation strategy; plan for capacity and resource optimization</w:t>
            </w:r>
          </w:p>
          <w:p w14:paraId="26F9267E" w14:textId="77777777" w:rsidR="00430B9E" w:rsidRPr="00FF7AEA" w:rsidRDefault="00430B9E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65730190" w14:textId="77777777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4CA9610E" w14:textId="77777777" w:rsidR="00430B9E" w:rsidRPr="00FF7AEA" w:rsidRDefault="009C6FA5" w:rsidP="00430B9E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Plan for role migration; migrate server roles; migrate servers across domains and forests; design a server consolidation strategy; plan for capacity and resource optimization</w:t>
            </w:r>
          </w:p>
          <w:p w14:paraId="3F467382" w14:textId="4AC397F5" w:rsidR="009C6FA5" w:rsidRPr="00FF7AEA" w:rsidRDefault="009C6FA5" w:rsidP="00430B9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0B9E" w14:paraId="4110A505" w14:textId="77777777" w:rsidTr="00C01724">
        <w:trPr>
          <w:trHeight w:val="273"/>
        </w:trPr>
        <w:tc>
          <w:tcPr>
            <w:tcW w:w="8854" w:type="dxa"/>
          </w:tcPr>
          <w:p w14:paraId="65843FA5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Plan and deploy Virtual Machine Manager services</w:t>
            </w:r>
          </w:p>
          <w:p w14:paraId="33BAF206" w14:textId="13D1529E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Virtual Machine Manager service templates; define operating system profiles; configure hardware and capability profiles; manage services; configure image and template libraries; manage logical networks</w:t>
            </w:r>
          </w:p>
          <w:p w14:paraId="41CE7C66" w14:textId="77777777" w:rsidR="00430B9E" w:rsidRPr="00FF7AEA" w:rsidRDefault="00430B9E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080FED9F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4ED61F33" w14:textId="44BCB4E9" w:rsidR="00C01724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Plan and deploy profiles including operating system profiles, hardware and capability profiles, application profiles, and SQL profiles; plan and manage services including scaling out, updating, and servicing services; configure VMM libraries</w:t>
            </w:r>
          </w:p>
          <w:p w14:paraId="3C1E7D46" w14:textId="77777777" w:rsidR="009C6FA5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0777C8A3" w14:textId="77777777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New:</w:t>
            </w:r>
          </w:p>
          <w:p w14:paraId="006DE514" w14:textId="777E1CA9" w:rsidR="00C01724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Plan and deploy services to non-trusted domains and workgroups </w:t>
            </w:r>
          </w:p>
          <w:p w14:paraId="2A6FB3C0" w14:textId="77777777" w:rsidR="009C6FA5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12F9D61C" w14:textId="77777777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298727DA" w14:textId="59D7F99F" w:rsidR="00430B9E" w:rsidRPr="00FF7AEA" w:rsidRDefault="009C6FA5" w:rsidP="00430B9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Virtual Machine Manager service templates</w:t>
            </w:r>
          </w:p>
        </w:tc>
      </w:tr>
      <w:tr w:rsidR="00430B9E" w14:paraId="43A0A5F8" w14:textId="77777777" w:rsidTr="00C01724">
        <w:trPr>
          <w:trHeight w:val="273"/>
        </w:trPr>
        <w:tc>
          <w:tcPr>
            <w:tcW w:w="8854" w:type="dxa"/>
          </w:tcPr>
          <w:p w14:paraId="7FDCB5D7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Plan and implement file and storage services</w:t>
            </w:r>
          </w:p>
          <w:p w14:paraId="605B3BCE" w14:textId="77777777" w:rsidR="00430B9E" w:rsidRPr="00FF7AEA" w:rsidRDefault="00C01724" w:rsidP="00430B9E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Planning considerations include iSCSI SANs, Fibre Channel SANs, Virtual Fibre Channel, storage spaces, storage pools, and data de-duplication; configure the iSCSI Target server; configure the Internet Storage Name server (iSNS); configure Network File System (NFS); install Device Specific Modules (DSMs)</w:t>
            </w:r>
          </w:p>
          <w:p w14:paraId="36978DF4" w14:textId="1F1F3B4D" w:rsidR="00C01724" w:rsidRPr="00FF7AEA" w:rsidRDefault="00C01724" w:rsidP="00430B9E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1597993D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06AAC626" w14:textId="3CF16C95" w:rsidR="009C6FA5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Planning considerations including iSCSI SANs, Fibre Channel SANs, Virtual Fibre Channel, storage spaces, storage pools including tiered storage, and data de-duplication; configure Services for Network File System (NFS)</w:t>
            </w:r>
          </w:p>
          <w:p w14:paraId="14DF6D1E" w14:textId="77777777" w:rsidR="009C6FA5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38980FEA" w14:textId="77777777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New:</w:t>
            </w:r>
          </w:p>
          <w:p w14:paraId="3CA749FE" w14:textId="6322CAB4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Plan </w:t>
            </w:r>
            <w:r w:rsidR="009C6FA5" w:rsidRPr="00FF7AEA">
              <w:rPr>
                <w:rFonts w:ascii="Calibri" w:eastAsia="Times New Roman" w:hAnsi="Calibri" w:cs="Calibri"/>
                <w:color w:val="000000" w:themeColor="text1"/>
              </w:rPr>
              <w:t>and implement SMB 3.0 based storage; plan for Windows Offloaded Data Transfer (ODX)</w:t>
            </w:r>
          </w:p>
          <w:p w14:paraId="78CE61C6" w14:textId="77777777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2089D43B" w14:textId="77777777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6F2D9B03" w14:textId="3DF97ADF" w:rsidR="00430B9E" w:rsidRPr="00FF7AEA" w:rsidRDefault="009C6FA5" w:rsidP="00430B9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Configure the Internet Storage Name server (iSNS)</w:t>
            </w:r>
          </w:p>
        </w:tc>
      </w:tr>
    </w:tbl>
    <w:p w14:paraId="6FC70D98" w14:textId="77777777" w:rsidR="00B038B7" w:rsidRPr="00981D10" w:rsidRDefault="00B038B7" w:rsidP="007876F1">
      <w:pPr>
        <w:pStyle w:val="ListParagraph"/>
        <w:spacing w:after="0" w:line="240" w:lineRule="auto"/>
        <w:ind w:left="792"/>
        <w:rPr>
          <w:rFonts w:ascii="Calibri" w:eastAsia="Times New Roman" w:hAnsi="Calibri" w:cs="Calibri"/>
          <w:color w:val="000000"/>
        </w:rPr>
      </w:pPr>
    </w:p>
    <w:p w14:paraId="7A996B47" w14:textId="77777777" w:rsidR="00981D10" w:rsidRDefault="00981D10" w:rsidP="00AC746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Design and Implement Network Infrastructure Services </w:t>
      </w:r>
    </w:p>
    <w:p w14:paraId="6929FCAA" w14:textId="77777777" w:rsidR="009C6FA5" w:rsidRDefault="009C6FA5" w:rsidP="009C6FA5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54"/>
        <w:gridCol w:w="8854"/>
      </w:tblGrid>
      <w:tr w:rsidR="009C6FA5" w:rsidRPr="00C01724" w14:paraId="2CF2C752" w14:textId="77777777" w:rsidTr="00C2750F">
        <w:trPr>
          <w:trHeight w:val="273"/>
        </w:trPr>
        <w:tc>
          <w:tcPr>
            <w:tcW w:w="8854" w:type="dxa"/>
          </w:tcPr>
          <w:p w14:paraId="31CCB024" w14:textId="77777777" w:rsidR="009C6FA5" w:rsidRPr="00C01724" w:rsidRDefault="009C6FA5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7</w:t>
            </w:r>
          </w:p>
        </w:tc>
        <w:tc>
          <w:tcPr>
            <w:tcW w:w="8854" w:type="dxa"/>
          </w:tcPr>
          <w:p w14:paraId="148E2A20" w14:textId="77777777" w:rsidR="009C6FA5" w:rsidRPr="00C01724" w:rsidRDefault="009C6FA5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added/updated April 7</w:t>
            </w:r>
          </w:p>
        </w:tc>
      </w:tr>
      <w:tr w:rsidR="009C6FA5" w:rsidRPr="00C01724" w14:paraId="433305B1" w14:textId="77777777" w:rsidTr="00C2750F">
        <w:trPr>
          <w:trHeight w:val="273"/>
        </w:trPr>
        <w:tc>
          <w:tcPr>
            <w:tcW w:w="8854" w:type="dxa"/>
          </w:tcPr>
          <w:p w14:paraId="02E70593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and maintain a Dynamic Host Configuration Protocol (DHCP) solution. </w:t>
            </w:r>
          </w:p>
          <w:p w14:paraId="4FF351F0" w14:textId="2E6814D4" w:rsidR="009C6FA5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a highly available DHCP solution including split scope, DHCP failover, and DHCP failover clustering, DHCP interoperability, and DHCPv6; implement DHCP filtering; implement and configure a DHCP management pack; maintain a DHCP database</w:t>
            </w:r>
          </w:p>
        </w:tc>
        <w:tc>
          <w:tcPr>
            <w:tcW w:w="8854" w:type="dxa"/>
          </w:tcPr>
          <w:p w14:paraId="2C961383" w14:textId="77777777" w:rsidR="009C6FA5" w:rsidRPr="00FF7AEA" w:rsidRDefault="009C6FA5" w:rsidP="00C2750F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1477638E" w14:textId="38F46CF5" w:rsidR="009C6FA5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 including a highly available DHCP solution including split scope, DHCP failover, and DHCP failover clustering, DHCP interoperability, and DHCPv6; implement DHCP filtering; implement and configure a DHCP management pack; maintain a DHCP database</w:t>
            </w:r>
          </w:p>
        </w:tc>
      </w:tr>
      <w:tr w:rsidR="009C6FA5" w:rsidRPr="00430B9E" w14:paraId="06845B52" w14:textId="77777777" w:rsidTr="00C2750F">
        <w:trPr>
          <w:trHeight w:val="273"/>
        </w:trPr>
        <w:tc>
          <w:tcPr>
            <w:tcW w:w="8854" w:type="dxa"/>
          </w:tcPr>
          <w:p w14:paraId="0832E89E" w14:textId="77777777" w:rsidR="003B52C0" w:rsidRPr="00FF7AEA" w:rsidRDefault="003B52C0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name resolution solution strategy. </w:t>
            </w:r>
          </w:p>
          <w:p w14:paraId="16928B0A" w14:textId="2A8F76EE" w:rsidR="009C6FA5" w:rsidRPr="00FF7AEA" w:rsidRDefault="003B52C0" w:rsidP="003B52C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secure name resolution, DNSSEC, DNS Socket Pool, cache locking, disjoint namespaces, DNS interoperability, migration to application partitions, IPv6, Single-Label DNS Name Resolution, zone hierarchy, and zone delegation</w:t>
            </w:r>
          </w:p>
        </w:tc>
        <w:tc>
          <w:tcPr>
            <w:tcW w:w="8854" w:type="dxa"/>
          </w:tcPr>
          <w:p w14:paraId="0EECC897" w14:textId="77777777" w:rsidR="009C6FA5" w:rsidRPr="00FF7AEA" w:rsidRDefault="009C6FA5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7693280E" w14:textId="5603AE60" w:rsidR="009C6FA5" w:rsidRPr="00FF7AEA" w:rsidRDefault="003B52C0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 including Active Directory integrated zones, DNSSEC, DNS Socket Pool, cache locking, disjoint namespaces, DNS interoperability, migration to application partitions, IPv6, Single-Label DNS Name Resolution, zone hierarchy, and zone delegation</w:t>
            </w:r>
          </w:p>
          <w:p w14:paraId="0427D0DD" w14:textId="77777777" w:rsidR="009C6FA5" w:rsidRPr="00FF7AEA" w:rsidRDefault="009C6FA5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6FA5" w:rsidRPr="00430B9E" w14:paraId="1079B1E9" w14:textId="77777777" w:rsidTr="00C2750F">
        <w:trPr>
          <w:trHeight w:val="273"/>
        </w:trPr>
        <w:tc>
          <w:tcPr>
            <w:tcW w:w="8854" w:type="dxa"/>
          </w:tcPr>
          <w:p w14:paraId="71475C0B" w14:textId="77777777" w:rsidR="003B52C0" w:rsidRPr="00FF7AEA" w:rsidRDefault="003B52C0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and manage an IP address management solution. </w:t>
            </w:r>
          </w:p>
          <w:p w14:paraId="7F398AF8" w14:textId="5F1ED420" w:rsidR="009C6FA5" w:rsidRPr="00FF7AEA" w:rsidRDefault="003B52C0" w:rsidP="003B52C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IP address management technologies including IPAM, Group Policy based, and manual provisioning, and distributed vs. centralized placement; configure role-based access control; configure IPAM auditing; migrate IPs; manage and monitor multiple DHCP and DNS servers; configure data collection for IPAM</w:t>
            </w:r>
          </w:p>
        </w:tc>
        <w:tc>
          <w:tcPr>
            <w:tcW w:w="8854" w:type="dxa"/>
          </w:tcPr>
          <w:p w14:paraId="176C7EA1" w14:textId="77777777" w:rsidR="003B52C0" w:rsidRPr="00FF7AEA" w:rsidRDefault="003B52C0" w:rsidP="003B52C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6D86D0FF" w14:textId="6492A036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Design considerations including IP address management technologies including IPAM, Group Policy based, and manual provisioning, and distributed, centralized, hybrid placement, and database storage </w:t>
            </w:r>
          </w:p>
          <w:p w14:paraId="56751424" w14:textId="77777777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680CB262" w14:textId="77777777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New:</w:t>
            </w:r>
          </w:p>
          <w:p w14:paraId="6B013A45" w14:textId="39A4759F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Integrate IPAM with Virtual Machine Manager (VMM)</w:t>
            </w:r>
          </w:p>
          <w:p w14:paraId="559EB16D" w14:textId="77777777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2925623A" w14:textId="77777777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338856E1" w14:textId="1B9EC543" w:rsidR="009C6FA5" w:rsidRPr="00FF7AEA" w:rsidRDefault="003B52C0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Configure role-based access control; configure IPAM auditing; migrate IPs; manage and monitor multiple DHCP and DNS servers; configure data collection for IPAM</w:t>
            </w:r>
          </w:p>
        </w:tc>
      </w:tr>
    </w:tbl>
    <w:p w14:paraId="35A55C71" w14:textId="77777777" w:rsidR="00EB3292" w:rsidRPr="007C4FDD" w:rsidRDefault="00EB3292" w:rsidP="007C4FDD">
      <w:pPr>
        <w:spacing w:after="0" w:line="240" w:lineRule="auto"/>
        <w:ind w:left="792"/>
        <w:rPr>
          <w:rFonts w:ascii="Calibri" w:eastAsia="Times New Roman" w:hAnsi="Calibri" w:cs="Calibri"/>
          <w:bCs/>
          <w:color w:val="1F497D"/>
        </w:rPr>
      </w:pPr>
    </w:p>
    <w:p w14:paraId="23D83A5D" w14:textId="77777777" w:rsidR="00981D10" w:rsidRDefault="00981D10" w:rsidP="00991FD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Design and Implement Network Access Services</w:t>
      </w:r>
    </w:p>
    <w:p w14:paraId="5A9AA91B" w14:textId="77777777" w:rsidR="003B52C0" w:rsidRDefault="003B52C0" w:rsidP="003B52C0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54"/>
        <w:gridCol w:w="8854"/>
      </w:tblGrid>
      <w:tr w:rsidR="003B52C0" w:rsidRPr="00C01724" w14:paraId="264D28BF" w14:textId="77777777" w:rsidTr="00C2750F">
        <w:trPr>
          <w:trHeight w:val="273"/>
        </w:trPr>
        <w:tc>
          <w:tcPr>
            <w:tcW w:w="8854" w:type="dxa"/>
          </w:tcPr>
          <w:p w14:paraId="7EE7688F" w14:textId="77777777" w:rsidR="003B52C0" w:rsidRPr="00C01724" w:rsidRDefault="003B52C0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7</w:t>
            </w:r>
          </w:p>
        </w:tc>
        <w:tc>
          <w:tcPr>
            <w:tcW w:w="8854" w:type="dxa"/>
          </w:tcPr>
          <w:p w14:paraId="0EA335A1" w14:textId="77777777" w:rsidR="003B52C0" w:rsidRPr="00C01724" w:rsidRDefault="003B52C0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added/updated April 7</w:t>
            </w:r>
          </w:p>
        </w:tc>
      </w:tr>
      <w:tr w:rsidR="003B52C0" w:rsidRPr="00C01724" w14:paraId="7CBB365D" w14:textId="77777777" w:rsidTr="00C2750F">
        <w:trPr>
          <w:trHeight w:val="273"/>
        </w:trPr>
        <w:tc>
          <w:tcPr>
            <w:tcW w:w="8854" w:type="dxa"/>
          </w:tcPr>
          <w:p w14:paraId="44B5F4F0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VPN solution. </w:t>
            </w:r>
          </w:p>
          <w:p w14:paraId="00BA90F2" w14:textId="0D0473E9" w:rsidR="003B52C0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certificate deployment, firewall configuration, client/site-to-site, bandwidth, protocol implications, connectivity to Windows Azure IaaS, and VPN deployment configurations using Connection Manager Administration Kit (CMAK)</w:t>
            </w:r>
          </w:p>
        </w:tc>
        <w:tc>
          <w:tcPr>
            <w:tcW w:w="8854" w:type="dxa"/>
          </w:tcPr>
          <w:p w14:paraId="10575208" w14:textId="77777777" w:rsidR="003B52C0" w:rsidRPr="00FF7AEA" w:rsidRDefault="003B52C0" w:rsidP="00C2750F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00F2C6A4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 including a highly available DHCP solution including split scope, DHCP failover, and DHCP failover clustering, DHCP interoperability, and DHCPv6; implement DHCP filtering; implement and configure a DHCP management pack; maintain a DHCP database</w:t>
            </w:r>
          </w:p>
        </w:tc>
      </w:tr>
      <w:tr w:rsidR="003B52C0" w:rsidRPr="00430B9E" w14:paraId="1779B3D4" w14:textId="77777777" w:rsidTr="00C2750F">
        <w:trPr>
          <w:trHeight w:val="273"/>
        </w:trPr>
        <w:tc>
          <w:tcPr>
            <w:tcW w:w="8854" w:type="dxa"/>
          </w:tcPr>
          <w:p w14:paraId="47988A61" w14:textId="51F603EF" w:rsidR="003B52C0" w:rsidRPr="00FF7AEA" w:rsidRDefault="003B52C0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DirectAccess solution. </w:t>
            </w:r>
          </w:p>
          <w:p w14:paraId="603ED387" w14:textId="42019676" w:rsidR="003B52C0" w:rsidRPr="00FF7AEA" w:rsidRDefault="003B52C0" w:rsidP="003B52C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deployment, topology, migration from Forefront UAG,   One Time Password (OTP), and use of certificates issued by enterprise Certificate Authority (CA)</w:t>
            </w:r>
          </w:p>
        </w:tc>
        <w:tc>
          <w:tcPr>
            <w:tcW w:w="8854" w:type="dxa"/>
          </w:tcPr>
          <w:p w14:paraId="6545CC70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41C0E231" w14:textId="77777777" w:rsidR="003B52C0" w:rsidRPr="00FF7AEA" w:rsidRDefault="003B52C0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 including Active Directory integrated zones, DNSSEC, DNS Socket Pool, cache locking, disjoint namespaces, DNS interoperability, migration to application partitions, IPv6, Single-Label DNS Name Resolution, zone hierarchy, and zone delegation</w:t>
            </w:r>
          </w:p>
          <w:p w14:paraId="1FB25528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52C0" w:rsidRPr="00430B9E" w14:paraId="5889AD90" w14:textId="77777777" w:rsidTr="00C2750F">
        <w:trPr>
          <w:trHeight w:val="273"/>
        </w:trPr>
        <w:tc>
          <w:tcPr>
            <w:tcW w:w="8854" w:type="dxa"/>
          </w:tcPr>
          <w:p w14:paraId="64491DFB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0FD53ECF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New:</w:t>
            </w:r>
          </w:p>
          <w:p w14:paraId="1777F9EB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Web Application Proxy solution. </w:t>
            </w:r>
          </w:p>
          <w:p w14:paraId="64101886" w14:textId="57EE97B6" w:rsidR="003B52C0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planning for applications, authentication and authorization, Workplace Join, devices, multifactor authentication, multifactor access control, Single Sign On (SSO), certificates, planning access for internal and external clients</w:t>
            </w:r>
          </w:p>
        </w:tc>
      </w:tr>
      <w:tr w:rsidR="003B52C0" w:rsidRPr="00430B9E" w14:paraId="4D601373" w14:textId="77777777" w:rsidTr="00C2750F">
        <w:trPr>
          <w:trHeight w:val="273"/>
        </w:trPr>
        <w:tc>
          <w:tcPr>
            <w:tcW w:w="8854" w:type="dxa"/>
          </w:tcPr>
          <w:p w14:paraId="6CD12408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Implement a scalable remote access solution. </w:t>
            </w:r>
          </w:p>
          <w:p w14:paraId="6AC89F8D" w14:textId="5F38E06B" w:rsidR="003B52C0" w:rsidRPr="00FF7AEA" w:rsidRDefault="003B52C0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Configure site-to-site VPN; configure packet filters; implement packet tracing; implement multi-site Remote Access; configure Remote Access clustered with Network Load Balancing (NLB); </w:t>
            </w:r>
            <w:r w:rsid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configure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DirectAccess</w:t>
            </w:r>
          </w:p>
        </w:tc>
        <w:tc>
          <w:tcPr>
            <w:tcW w:w="8854" w:type="dxa"/>
          </w:tcPr>
          <w:p w14:paraId="2D9DE374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2D36BE9F" w14:textId="776296AD" w:rsidR="003B52C0" w:rsidRDefault="00FF7AEA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I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mplement an advanced DirectAccess solution </w:t>
            </w:r>
          </w:p>
          <w:p w14:paraId="02FD6727" w14:textId="77777777" w:rsidR="00FF7AEA" w:rsidRPr="00FF7AEA" w:rsidRDefault="00FF7AEA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283B9AE0" w14:textId="77777777" w:rsidR="003B52C0" w:rsidRPr="00FF7AEA" w:rsidRDefault="003B52C0" w:rsidP="00C2750F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New:</w:t>
            </w:r>
          </w:p>
          <w:p w14:paraId="5B6EC2DE" w14:textId="42DCC7BE" w:rsidR="003B52C0" w:rsidRDefault="00FF7AEA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onfigure multiple RADIUS server groups and infrastructure; configure Web Application Proxy for clustering </w:t>
            </w:r>
          </w:p>
          <w:p w14:paraId="786054A0" w14:textId="77777777" w:rsidR="00FF7AEA" w:rsidRPr="00FF7AEA" w:rsidRDefault="00FF7AEA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4336AAB2" w14:textId="77777777" w:rsidR="003B52C0" w:rsidRPr="00FF7AEA" w:rsidRDefault="003B52C0" w:rsidP="00C2750F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233F45A8" w14:textId="4362F551" w:rsidR="003B52C0" w:rsidRPr="00FF7AEA" w:rsidRDefault="00FF7AEA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AC746D">
              <w:rPr>
                <w:rFonts w:ascii="Calibri" w:eastAsia="Times New Roman" w:hAnsi="Calibri" w:cs="Calibri"/>
                <w:color w:val="000000"/>
              </w:rPr>
              <w:t>onfigu</w:t>
            </w:r>
            <w:r>
              <w:rPr>
                <w:rFonts w:ascii="Calibri" w:eastAsia="Times New Roman" w:hAnsi="Calibri" w:cs="Calibri"/>
                <w:color w:val="000000"/>
              </w:rPr>
              <w:t>re site-to-site VPN; configure packet f</w:t>
            </w:r>
            <w:r w:rsidRPr="00AC746D">
              <w:rPr>
                <w:rFonts w:ascii="Calibri" w:eastAsia="Times New Roman" w:hAnsi="Calibri" w:cs="Calibri"/>
                <w:color w:val="000000"/>
              </w:rPr>
              <w:t>ilters; implement packet tracing; implement multi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AC746D">
              <w:rPr>
                <w:rFonts w:ascii="Calibri" w:eastAsia="Times New Roman" w:hAnsi="Calibri" w:cs="Calibri"/>
                <w:color w:val="000000"/>
              </w:rPr>
              <w:t>site Remote Access; configure Remote Access clustered with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B4F77">
              <w:rPr>
                <w:rFonts w:ascii="Calibri" w:eastAsia="Times New Roman" w:hAnsi="Calibri" w:cs="Calibri"/>
                <w:color w:val="000000"/>
              </w:rPr>
              <w:t>Network Load Balancing</w:t>
            </w:r>
            <w:r w:rsidRPr="00AC74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AC746D">
              <w:rPr>
                <w:rFonts w:ascii="Calibri" w:eastAsia="Times New Roman" w:hAnsi="Calibri" w:cs="Calibri"/>
                <w:color w:val="000000"/>
              </w:rPr>
              <w:t>NLB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3B52C0" w:rsidRPr="00430B9E" w14:paraId="0EB64209" w14:textId="77777777" w:rsidTr="00C2750F">
        <w:trPr>
          <w:trHeight w:val="273"/>
        </w:trPr>
        <w:tc>
          <w:tcPr>
            <w:tcW w:w="8854" w:type="dxa"/>
          </w:tcPr>
          <w:p w14:paraId="6DAD1222" w14:textId="5D6BFCFF" w:rsidR="003B52C0" w:rsidRPr="00FF7AEA" w:rsidRDefault="00FF7AEA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Design</w:t>
            </w:r>
            <w:r w:rsidR="003B52C0"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 network protection solution. </w:t>
            </w:r>
          </w:p>
          <w:p w14:paraId="30CDAEE9" w14:textId="0ECE7D74" w:rsidR="003B52C0" w:rsidRPr="00FF7AEA" w:rsidRDefault="003B52C0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Design considerations including Network Access Protection (NAP) enforcement methods for DHCP, IPSec, VPN, and 802.1x, capacity, placement of servers, firewall, Network Policy Server </w:t>
            </w:r>
            <w:r w:rsid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(NPS), and remediation network</w:t>
            </w:r>
          </w:p>
        </w:tc>
        <w:tc>
          <w:tcPr>
            <w:tcW w:w="8854" w:type="dxa"/>
          </w:tcPr>
          <w:p w14:paraId="6524B97E" w14:textId="77777777" w:rsidR="00FF7AEA" w:rsidRPr="00FF7AEA" w:rsidRDefault="00FF7AEA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34079AD6" w14:textId="77777777" w:rsidR="00FF7AEA" w:rsidRPr="00FF7AEA" w:rsidRDefault="00FF7AEA" w:rsidP="00FF7AE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and implement a network protection solution. </w:t>
            </w:r>
          </w:p>
          <w:p w14:paraId="3989C0B1" w14:textId="77777777" w:rsidR="00FF7AEA" w:rsidRPr="00FF7AEA" w:rsidRDefault="00FF7AEA" w:rsidP="00FF7AE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74B2065D" w14:textId="77777777" w:rsidR="00FF7AEA" w:rsidRPr="00FF7AEA" w:rsidRDefault="00FF7AEA" w:rsidP="00FF7AEA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New:</w:t>
            </w:r>
          </w:p>
          <w:p w14:paraId="6CAB033C" w14:textId="5D659457" w:rsidR="00FF7AEA" w:rsidRPr="00FF7AEA" w:rsidRDefault="00FF7AEA" w:rsidP="00FF7AEA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C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onfigure NAP enforcement for IPsec and 802.1x; monitor for compliance</w:t>
            </w:r>
          </w:p>
          <w:p w14:paraId="77A812E6" w14:textId="77777777" w:rsidR="00FF7AEA" w:rsidRPr="00FF7AEA" w:rsidRDefault="00FF7AEA" w:rsidP="00FF7AE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05E9F65F" w14:textId="77777777" w:rsidR="00FF7AEA" w:rsidRPr="00FF7AEA" w:rsidRDefault="00FF7AEA" w:rsidP="00FF7AEA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5DBBF516" w14:textId="26971078" w:rsidR="003B52C0" w:rsidRPr="00FF7AEA" w:rsidRDefault="00FF7AEA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Design considerations including Network Access Protection (NAP) enforcement methods for DHCP, IPSec, VPN, and 802.1x, capacity, placement of servers, firewall, Network Policy Server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(NPS), and remediation network</w:t>
            </w:r>
          </w:p>
        </w:tc>
      </w:tr>
    </w:tbl>
    <w:p w14:paraId="6F7FFAF1" w14:textId="0083DC5E" w:rsidR="00396681" w:rsidRPr="00FF7AEA" w:rsidRDefault="00396681" w:rsidP="00FF7AEA">
      <w:pPr>
        <w:spacing w:after="0" w:line="240" w:lineRule="auto"/>
        <w:rPr>
          <w:rFonts w:ascii="Calibri" w:eastAsia="Times New Roman" w:hAnsi="Calibri" w:cs="Calibri"/>
          <w:bCs/>
          <w:color w:val="1F497D"/>
        </w:rPr>
      </w:pPr>
    </w:p>
    <w:p w14:paraId="2C44B23A" w14:textId="77777777" w:rsidR="004A46E2" w:rsidRPr="00973A85" w:rsidRDefault="004A46E2" w:rsidP="00973A85">
      <w:pPr>
        <w:spacing w:after="0" w:line="240" w:lineRule="auto"/>
        <w:ind w:left="792"/>
        <w:rPr>
          <w:rFonts w:ascii="Calibri" w:eastAsia="Times New Roman" w:hAnsi="Calibri" w:cs="Calibri"/>
          <w:bCs/>
          <w:color w:val="1F497D"/>
        </w:rPr>
      </w:pPr>
    </w:p>
    <w:p w14:paraId="63C37FB2" w14:textId="77777777" w:rsidR="00981D10" w:rsidRDefault="00981D10" w:rsidP="001A17D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Design and Implement an Active Directory Infrastructure (Logical)</w:t>
      </w:r>
    </w:p>
    <w:p w14:paraId="3248FF2A" w14:textId="77777777" w:rsidR="00FF7AEA" w:rsidRDefault="00FF7AEA" w:rsidP="00FF7AEA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54"/>
        <w:gridCol w:w="8854"/>
      </w:tblGrid>
      <w:tr w:rsidR="00FF7AEA" w:rsidRPr="00C01724" w14:paraId="01CE208B" w14:textId="77777777" w:rsidTr="00C2750F">
        <w:trPr>
          <w:trHeight w:val="273"/>
        </w:trPr>
        <w:tc>
          <w:tcPr>
            <w:tcW w:w="8854" w:type="dxa"/>
          </w:tcPr>
          <w:p w14:paraId="2CE9C6E3" w14:textId="77777777" w:rsidR="00FF7AEA" w:rsidRPr="00C01724" w:rsidRDefault="00FF7AEA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7</w:t>
            </w:r>
          </w:p>
        </w:tc>
        <w:tc>
          <w:tcPr>
            <w:tcW w:w="8854" w:type="dxa"/>
          </w:tcPr>
          <w:p w14:paraId="1F7FB84D" w14:textId="77777777" w:rsidR="00FF7AEA" w:rsidRPr="00C01724" w:rsidRDefault="00FF7AEA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added/updated April 7</w:t>
            </w:r>
          </w:p>
        </w:tc>
      </w:tr>
      <w:tr w:rsidR="00FF7AEA" w:rsidRPr="00FF7AEA" w14:paraId="419FEF0E" w14:textId="77777777" w:rsidTr="00C2750F">
        <w:trPr>
          <w:trHeight w:val="273"/>
        </w:trPr>
        <w:tc>
          <w:tcPr>
            <w:tcW w:w="8854" w:type="dxa"/>
          </w:tcPr>
          <w:p w14:paraId="7D9C9BD1" w14:textId="70A28D68" w:rsidR="00FF7AEA" w:rsidRPr="00FF7AEA" w:rsidRDefault="00FF7AEA" w:rsidP="00FF7AE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forest and domain infrastructure. </w:t>
            </w:r>
          </w:p>
          <w:p w14:paraId="66FB82FC" w14:textId="77807E2C" w:rsidR="00FF7AEA" w:rsidRPr="00FF7AEA" w:rsidRDefault="00FF7AEA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color w:val="000000"/>
              </w:rPr>
              <w:t>Design considerations including multi-forest architecture, trusts, functional levels, domain upgrade, domain migration, forest restructure,</w:t>
            </w:r>
            <w:r w:rsidRPr="00FF7AEA">
              <w:rPr>
                <w:rFonts w:ascii="Calibri" w:eastAsia="Times New Roman" w:hAnsi="Calibri" w:cs="Calibri"/>
                <w:color w:val="000000"/>
                <w:lang w:val="ga-IE"/>
              </w:rPr>
              <w:t xml:space="preserve"> </w:t>
            </w:r>
            <w:r w:rsidRPr="00FF7AEA">
              <w:rPr>
                <w:rFonts w:ascii="Calibri" w:eastAsia="Times New Roman" w:hAnsi="Calibri" w:cs="Calibri"/>
                <w:color w:val="000000"/>
              </w:rPr>
              <w:t>and Hybrid Cloud services</w:t>
            </w:r>
          </w:p>
        </w:tc>
        <w:tc>
          <w:tcPr>
            <w:tcW w:w="8854" w:type="dxa"/>
          </w:tcPr>
          <w:p w14:paraId="59DCF3DB" w14:textId="537FB812" w:rsidR="00FF7AEA" w:rsidRPr="00FF7AEA" w:rsidRDefault="00FF7AEA" w:rsidP="00C2750F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>
              <w:rPr>
                <w:rFonts w:ascii="Calibri" w:eastAsia="Times New Roman" w:hAnsi="Calibri" w:cs="Calibri"/>
                <w:color w:val="000000" w:themeColor="text1"/>
                <w:u w:val="single"/>
              </w:rPr>
              <w:t>Updated</w:t>
            </w: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:</w:t>
            </w:r>
          </w:p>
          <w:p w14:paraId="0C84117F" w14:textId="5D937073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 including multi-forest architecture, trusts, functional levels, domain upgrade, domain migration, forest restructure, Azure Active Directory, and DirSync</w:t>
            </w:r>
          </w:p>
        </w:tc>
      </w:tr>
      <w:tr w:rsidR="00FF7AEA" w:rsidRPr="00FF7AEA" w14:paraId="4FF9DCDC" w14:textId="77777777" w:rsidTr="00C2750F">
        <w:trPr>
          <w:trHeight w:val="273"/>
        </w:trPr>
        <w:tc>
          <w:tcPr>
            <w:tcW w:w="8854" w:type="dxa"/>
          </w:tcPr>
          <w:p w14:paraId="7D4B5110" w14:textId="77777777" w:rsidR="00FF7AEA" w:rsidRDefault="00FF7AEA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Implement a forest and domain infrastructure. </w:t>
            </w:r>
          </w:p>
          <w:p w14:paraId="14E8ABBE" w14:textId="54242A74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Configure domain rename; configure Kerberos realm trusts; implement a domain upgrade; implement a domain migration; implement a forest restructure; deploy and manage a test forest including synchronization with production forests</w:t>
            </w:r>
          </w:p>
        </w:tc>
        <w:tc>
          <w:tcPr>
            <w:tcW w:w="8854" w:type="dxa"/>
          </w:tcPr>
          <w:p w14:paraId="3D11601B" w14:textId="5467E9C7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Unchanged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574A144E" w14:textId="6207A8C9" w:rsidR="00FF7AEA" w:rsidRPr="00FF7AEA" w:rsidRDefault="00FF7AEA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Configure domain rename; configure Kerberos realm trusts; implement a domain upgrade; implement a domain migration; implement a forest restructure; deploy and manage a test forest including synchronization with production forests</w:t>
            </w:r>
          </w:p>
        </w:tc>
      </w:tr>
      <w:tr w:rsidR="00FF7AEA" w:rsidRPr="00FF7AEA" w14:paraId="58EA1A53" w14:textId="77777777" w:rsidTr="00C2750F">
        <w:trPr>
          <w:trHeight w:val="273"/>
        </w:trPr>
        <w:tc>
          <w:tcPr>
            <w:tcW w:w="8854" w:type="dxa"/>
          </w:tcPr>
          <w:p w14:paraId="1615D1AA" w14:textId="77777777" w:rsidR="00FF7AEA" w:rsidRDefault="00FF7AEA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Group Policy strategy. </w:t>
            </w:r>
          </w:p>
          <w:p w14:paraId="3F9ACCAC" w14:textId="3DE293F3" w:rsidR="00FF7AEA" w:rsidRPr="00FF7AEA" w:rsidRDefault="00FF7AEA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inheritance blocking, enforced policies, loopback processing, security, and WMI filtering, site-linked Group Policy Objects (GPOs), slow-link processing, group strategies, org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anizational unit (OU) hierarchy and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Advanced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Group Policy Management (AGPM)</w:t>
            </w:r>
          </w:p>
        </w:tc>
        <w:tc>
          <w:tcPr>
            <w:tcW w:w="8854" w:type="dxa"/>
          </w:tcPr>
          <w:p w14:paraId="30AAB9C7" w14:textId="1C2F3CC4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147EA0C3" w14:textId="460EC2EA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inheritance blocking, enforced policies, loopback processing, security, and WMI filtering, site-linked Group Policy Objects (GPOs), slow-link processing, group strategies, organizational unit (OU) hierarchy, Advanced Group Policy Management (AGPM), and Group Policy caching</w:t>
            </w:r>
          </w:p>
        </w:tc>
      </w:tr>
      <w:tr w:rsidR="00FF7AEA" w:rsidRPr="00FF7AEA" w14:paraId="439EB463" w14:textId="77777777" w:rsidTr="00C2750F">
        <w:trPr>
          <w:trHeight w:val="273"/>
        </w:trPr>
        <w:tc>
          <w:tcPr>
            <w:tcW w:w="8854" w:type="dxa"/>
          </w:tcPr>
          <w:p w14:paraId="3F586EAA" w14:textId="79C085AB" w:rsidR="00FF7AEA" w:rsidRDefault="00FF7AEA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an Active Directory permission model. </w:t>
            </w:r>
          </w:p>
          <w:p w14:paraId="438E5F07" w14:textId="60C010CE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Active Directory object security and Active Directory quotas; customize tasks to delegate in Delegation of Control Wizard; deploy administrative tools on the client computer; delegate permissions on administrativ</w:t>
            </w:r>
            <w:r w:rsid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e users (AdminSDHolder); configure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Kerberos delegation</w:t>
            </w:r>
          </w:p>
        </w:tc>
        <w:tc>
          <w:tcPr>
            <w:tcW w:w="8854" w:type="dxa"/>
          </w:tcPr>
          <w:p w14:paraId="47E05719" w14:textId="77777777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Updated:</w:t>
            </w:r>
          </w:p>
          <w:p w14:paraId="61D5B77F" w14:textId="3CD8AA34" w:rsidR="00FF7AEA" w:rsidRDefault="006E6F30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AC746D">
              <w:rPr>
                <w:rFonts w:ascii="Calibri" w:eastAsia="Times New Roman" w:hAnsi="Calibri" w:cs="Calibri"/>
                <w:color w:val="000000"/>
              </w:rPr>
              <w:t>ustomize tasks to delegate in Delegat</w:t>
            </w:r>
            <w:r>
              <w:rPr>
                <w:rFonts w:ascii="Calibri" w:eastAsia="Times New Roman" w:hAnsi="Calibri" w:cs="Calibri"/>
                <w:color w:val="000000"/>
              </w:rPr>
              <w:t>ion</w:t>
            </w:r>
            <w:r w:rsidRPr="00AC746D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AC746D">
              <w:rPr>
                <w:rFonts w:ascii="Calibri" w:eastAsia="Times New Roman" w:hAnsi="Calibri" w:cs="Calibri"/>
                <w:color w:val="000000"/>
              </w:rPr>
              <w:t xml:space="preserve">ontrol 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AC746D">
              <w:rPr>
                <w:rFonts w:ascii="Calibri" w:eastAsia="Times New Roman" w:hAnsi="Calibri" w:cs="Calibri"/>
                <w:color w:val="000000"/>
              </w:rPr>
              <w:t>izard</w:t>
            </w:r>
            <w:r>
              <w:rPr>
                <w:rFonts w:ascii="Calibri" w:eastAsia="Times New Roman" w:hAnsi="Calibri" w:cs="Calibri"/>
                <w:color w:val="000000"/>
              </w:rPr>
              <w:t>;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plan for Kerberos delegation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  <w:p w14:paraId="36A5B790" w14:textId="77777777" w:rsidR="00FF7AEA" w:rsidRPr="00FF7AEA" w:rsidRDefault="00FF7AEA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0E7FCD22" w14:textId="77777777" w:rsidR="00FF7AEA" w:rsidRPr="00FF7AEA" w:rsidRDefault="00FF7AEA" w:rsidP="00C2750F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Unchanged:</w:t>
            </w:r>
          </w:p>
          <w:p w14:paraId="57ED3F35" w14:textId="6C81D8B6" w:rsidR="00FF7AEA" w:rsidRPr="00FF7AEA" w:rsidRDefault="006E6F3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AC746D">
              <w:rPr>
                <w:rFonts w:ascii="Calibri" w:eastAsia="Times New Roman" w:hAnsi="Calibri" w:cs="Calibri"/>
                <w:color w:val="000000"/>
              </w:rPr>
              <w:t>esign considerations including Active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Directory object security and </w:t>
            </w:r>
            <w:r w:rsidRPr="00AC746D">
              <w:rPr>
                <w:rFonts w:ascii="Calibri" w:eastAsia="Times New Roman" w:hAnsi="Calibri" w:cs="Calibri"/>
                <w:color w:val="000000"/>
              </w:rPr>
              <w:t>Active Directory quotas; deploy administrative tools on the client computer; delegate permissions on administrative users (AdminSDHolder)</w:t>
            </w:r>
          </w:p>
        </w:tc>
      </w:tr>
    </w:tbl>
    <w:p w14:paraId="58BB84FD" w14:textId="77777777" w:rsidR="00FF7AEA" w:rsidRPr="00FF7AEA" w:rsidRDefault="00FF7AEA" w:rsidP="00FF7AEA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p w14:paraId="191C5473" w14:textId="77777777" w:rsidR="00EB3292" w:rsidRPr="00981D10" w:rsidRDefault="00EB3292" w:rsidP="00981D1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EE07F50" w14:textId="77777777" w:rsidR="00981D10" w:rsidRDefault="00981D10" w:rsidP="001A17D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Design and Implement an Active Directory Infrastructure (Physical)</w:t>
      </w:r>
    </w:p>
    <w:p w14:paraId="41D15929" w14:textId="77777777" w:rsidR="006E6F30" w:rsidRDefault="006E6F30" w:rsidP="006E6F30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54"/>
        <w:gridCol w:w="8854"/>
      </w:tblGrid>
      <w:tr w:rsidR="006E6F30" w:rsidRPr="00C01724" w14:paraId="0FD2059A" w14:textId="77777777" w:rsidTr="00C2750F">
        <w:trPr>
          <w:trHeight w:val="273"/>
        </w:trPr>
        <w:tc>
          <w:tcPr>
            <w:tcW w:w="8854" w:type="dxa"/>
          </w:tcPr>
          <w:p w14:paraId="769C311F" w14:textId="77777777" w:rsidR="006E6F30" w:rsidRPr="00C01724" w:rsidRDefault="006E6F30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7</w:t>
            </w:r>
          </w:p>
        </w:tc>
        <w:tc>
          <w:tcPr>
            <w:tcW w:w="8854" w:type="dxa"/>
          </w:tcPr>
          <w:p w14:paraId="6115790E" w14:textId="77777777" w:rsidR="006E6F30" w:rsidRPr="00C01724" w:rsidRDefault="006E6F30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added/updated April 7</w:t>
            </w:r>
          </w:p>
        </w:tc>
      </w:tr>
      <w:tr w:rsidR="006E6F30" w:rsidRPr="00FF7AEA" w14:paraId="7747365D" w14:textId="77777777" w:rsidTr="00C2750F">
        <w:trPr>
          <w:trHeight w:val="273"/>
        </w:trPr>
        <w:tc>
          <w:tcPr>
            <w:tcW w:w="8854" w:type="dxa"/>
          </w:tcPr>
          <w:p w14:paraId="677D67EB" w14:textId="57BC2385" w:rsidR="006E6F30" w:rsidRPr="006E6F30" w:rsidRDefault="006E6F30" w:rsidP="006E6F3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an Active Directory sites topology. </w:t>
            </w:r>
          </w:p>
          <w:p w14:paraId="799C6BA8" w14:textId="23C77351" w:rsidR="006E6F30" w:rsidRPr="006E6F30" w:rsidRDefault="006E6F30" w:rsidP="006E6F3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proximity of domain controllers, replication optim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ization, and site link; monitor</w:t>
            </w: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and resolve Active Directory replication conflicts</w:t>
            </w:r>
          </w:p>
        </w:tc>
        <w:tc>
          <w:tcPr>
            <w:tcW w:w="8854" w:type="dxa"/>
          </w:tcPr>
          <w:p w14:paraId="00DAFB87" w14:textId="77777777" w:rsidR="006E6F30" w:rsidRPr="00FF7AEA" w:rsidRDefault="006E6F30" w:rsidP="00C2750F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>
              <w:rPr>
                <w:rFonts w:ascii="Calibri" w:eastAsia="Times New Roman" w:hAnsi="Calibri" w:cs="Calibri"/>
                <w:color w:val="000000" w:themeColor="text1"/>
                <w:u w:val="single"/>
              </w:rPr>
              <w:t>Updated</w:t>
            </w:r>
            <w:r w:rsidRPr="00FF7AEA">
              <w:rPr>
                <w:rFonts w:ascii="Calibri" w:eastAsia="Times New Roman" w:hAnsi="Calibri" w:cs="Calibri"/>
                <w:color w:val="000000" w:themeColor="text1"/>
                <w:u w:val="single"/>
              </w:rPr>
              <w:t>:</w:t>
            </w:r>
          </w:p>
          <w:p w14:paraId="6BF0284E" w14:textId="4510EF7D" w:rsidR="006E6F30" w:rsidRPr="00FF7AEA" w:rsidRDefault="006E6F3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I</w:t>
            </w: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dentify and resolve Active Directory replication conflicts</w:t>
            </w:r>
          </w:p>
        </w:tc>
      </w:tr>
      <w:tr w:rsidR="006E6F30" w:rsidRPr="00FF7AEA" w14:paraId="5F8A47AB" w14:textId="77777777" w:rsidTr="00C2750F">
        <w:trPr>
          <w:trHeight w:val="273"/>
        </w:trPr>
        <w:tc>
          <w:tcPr>
            <w:tcW w:w="8854" w:type="dxa"/>
          </w:tcPr>
          <w:p w14:paraId="48C9C975" w14:textId="5BAA508C" w:rsidR="006E6F30" w:rsidRDefault="006E6F30" w:rsidP="006E6F3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domain controller strategy. </w:t>
            </w:r>
          </w:p>
          <w:p w14:paraId="7634808D" w14:textId="618C9055" w:rsidR="006E6F30" w:rsidRPr="006E6F30" w:rsidRDefault="006E6F30" w:rsidP="006E6F3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global catalog, operations master roles, Read-Only Domain Controllers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(RODCs), partial attribute set and</w:t>
            </w: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domain controller cloning</w:t>
            </w:r>
          </w:p>
        </w:tc>
        <w:tc>
          <w:tcPr>
            <w:tcW w:w="8854" w:type="dxa"/>
          </w:tcPr>
          <w:p w14:paraId="5734A373" w14:textId="4E0CD7E7" w:rsidR="006E6F30" w:rsidRPr="00FF7AEA" w:rsidRDefault="006E6F3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Updated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196F57DC" w14:textId="117B9831" w:rsidR="006E6F30" w:rsidRPr="00FF7AEA" w:rsidRDefault="006E6F3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global catalog, operations master roles, Read-Only Domain Controllers (RODCs), partial attribute set, domain controller cloning, and domain controller placement</w:t>
            </w:r>
          </w:p>
        </w:tc>
      </w:tr>
      <w:tr w:rsidR="006E6F30" w:rsidRPr="00FF7AEA" w14:paraId="6A307AD7" w14:textId="77777777" w:rsidTr="00C2750F">
        <w:trPr>
          <w:trHeight w:val="273"/>
        </w:trPr>
        <w:tc>
          <w:tcPr>
            <w:tcW w:w="8854" w:type="dxa"/>
          </w:tcPr>
          <w:p w14:paraId="0C902176" w14:textId="77777777" w:rsidR="006E6F30" w:rsidRDefault="006E6F30" w:rsidP="006E6F3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and implement a branch office infrastructure. </w:t>
            </w:r>
          </w:p>
          <w:p w14:paraId="4626291A" w14:textId="106055AE" w:rsidR="006E6F30" w:rsidRPr="006E6F30" w:rsidRDefault="006E6F30" w:rsidP="006E6F3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RODC, Universal Group Membership Caching (UGMC), global catalog, DNS, DHCP, and BranchCache; implement confidential attributes; delegate administration; modify filtered attributes set; configure Password Replication Policy; configure hash publication</w:t>
            </w:r>
          </w:p>
        </w:tc>
        <w:tc>
          <w:tcPr>
            <w:tcW w:w="8854" w:type="dxa"/>
          </w:tcPr>
          <w:p w14:paraId="41039F0A" w14:textId="7441A6EF" w:rsidR="006E6F30" w:rsidRPr="00FF7AEA" w:rsidRDefault="006E6F3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Unchanged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42F91F3F" w14:textId="7924B5EE" w:rsidR="006E6F30" w:rsidRPr="00FF7AEA" w:rsidRDefault="006E6F3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AC746D">
              <w:rPr>
                <w:rFonts w:ascii="Calibri" w:eastAsia="Times New Roman" w:hAnsi="Calibri" w:cs="Calibri"/>
                <w:color w:val="000000"/>
              </w:rPr>
              <w:t xml:space="preserve">Design considerations including RODC, </w:t>
            </w:r>
            <w:r>
              <w:rPr>
                <w:rFonts w:ascii="Calibri" w:eastAsia="Times New Roman" w:hAnsi="Calibri" w:cs="Calibri"/>
                <w:color w:val="000000"/>
              </w:rPr>
              <w:t>Universal Group Membership Caching (</w:t>
            </w:r>
            <w:r w:rsidRPr="00AC746D">
              <w:rPr>
                <w:rFonts w:ascii="Calibri" w:eastAsia="Times New Roman" w:hAnsi="Calibri" w:cs="Calibri"/>
                <w:color w:val="000000"/>
              </w:rPr>
              <w:t>UGMC</w:t>
            </w:r>
            <w:r>
              <w:rPr>
                <w:rFonts w:ascii="Calibri" w:eastAsia="Times New Roman" w:hAnsi="Calibri" w:cs="Calibri"/>
                <w:color w:val="000000"/>
              </w:rPr>
              <w:t>), global catalog</w:t>
            </w:r>
            <w:r w:rsidRPr="00AC746D">
              <w:rPr>
                <w:rFonts w:ascii="Calibri" w:eastAsia="Times New Roman" w:hAnsi="Calibri" w:cs="Calibri"/>
                <w:color w:val="000000"/>
              </w:rPr>
              <w:t xml:space="preserve">, DNS, DHCP,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AC746D">
              <w:rPr>
                <w:rFonts w:ascii="Calibri" w:eastAsia="Times New Roman" w:hAnsi="Calibri" w:cs="Calibri"/>
                <w:color w:val="000000"/>
              </w:rPr>
              <w:t>BranchCache; im</w:t>
            </w:r>
            <w:r>
              <w:rPr>
                <w:rFonts w:ascii="Calibri" w:eastAsia="Times New Roman" w:hAnsi="Calibri" w:cs="Calibri"/>
                <w:color w:val="000000"/>
              </w:rPr>
              <w:t>plement confidential attributes;</w:t>
            </w:r>
            <w:r w:rsidRPr="00AC746D">
              <w:rPr>
                <w:rFonts w:ascii="Calibri" w:eastAsia="Times New Roman" w:hAnsi="Calibri" w:cs="Calibri"/>
                <w:color w:val="000000"/>
              </w:rPr>
              <w:t xml:space="preserve"> delegate administration; modify filtered attributes set; configure Password Replication Policy; configure hash publication</w:t>
            </w:r>
          </w:p>
        </w:tc>
      </w:tr>
    </w:tbl>
    <w:p w14:paraId="65F6E137" w14:textId="5DA9A656" w:rsidR="00396681" w:rsidRPr="006E6F30" w:rsidRDefault="00396681" w:rsidP="006E6F30">
      <w:pPr>
        <w:spacing w:after="0" w:line="240" w:lineRule="auto"/>
        <w:rPr>
          <w:rFonts w:ascii="Calibri" w:eastAsia="Times New Roman" w:hAnsi="Calibri" w:cs="Calibri"/>
          <w:bCs/>
          <w:color w:val="1F497D"/>
          <w:sz w:val="24"/>
          <w:szCs w:val="24"/>
        </w:rPr>
      </w:pPr>
    </w:p>
    <w:sectPr w:rsidR="00396681" w:rsidRPr="006E6F30" w:rsidSect="00F6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3094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5C04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CA0E0F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F15197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5A79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D70E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2C0C83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A01378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DE4FC1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2355DA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CA310E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635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10"/>
    <w:rsid w:val="0000465F"/>
    <w:rsid w:val="0000551F"/>
    <w:rsid w:val="00043D97"/>
    <w:rsid w:val="00045384"/>
    <w:rsid w:val="0005446E"/>
    <w:rsid w:val="00071EA9"/>
    <w:rsid w:val="0007760E"/>
    <w:rsid w:val="00095E65"/>
    <w:rsid w:val="00096A41"/>
    <w:rsid w:val="00097B9D"/>
    <w:rsid w:val="000A7A5E"/>
    <w:rsid w:val="000D696B"/>
    <w:rsid w:val="000E5D24"/>
    <w:rsid w:val="00113E18"/>
    <w:rsid w:val="00132B32"/>
    <w:rsid w:val="001429C6"/>
    <w:rsid w:val="00162D11"/>
    <w:rsid w:val="001673DA"/>
    <w:rsid w:val="001731CE"/>
    <w:rsid w:val="00176F46"/>
    <w:rsid w:val="001900D5"/>
    <w:rsid w:val="001A17D6"/>
    <w:rsid w:val="001A7C45"/>
    <w:rsid w:val="001E3AB5"/>
    <w:rsid w:val="001E41F2"/>
    <w:rsid w:val="001F040D"/>
    <w:rsid w:val="002835A4"/>
    <w:rsid w:val="00291FF0"/>
    <w:rsid w:val="00293897"/>
    <w:rsid w:val="002B7D4A"/>
    <w:rsid w:val="002C3E7F"/>
    <w:rsid w:val="002E21BC"/>
    <w:rsid w:val="0031339B"/>
    <w:rsid w:val="00332E96"/>
    <w:rsid w:val="00381EA5"/>
    <w:rsid w:val="00396681"/>
    <w:rsid w:val="003B0B56"/>
    <w:rsid w:val="003B52C0"/>
    <w:rsid w:val="003B5996"/>
    <w:rsid w:val="003D6673"/>
    <w:rsid w:val="003E45E6"/>
    <w:rsid w:val="003F6335"/>
    <w:rsid w:val="0040229A"/>
    <w:rsid w:val="00421C4D"/>
    <w:rsid w:val="00430B9E"/>
    <w:rsid w:val="00446ECD"/>
    <w:rsid w:val="00455998"/>
    <w:rsid w:val="00462D58"/>
    <w:rsid w:val="00463422"/>
    <w:rsid w:val="00463940"/>
    <w:rsid w:val="0049433E"/>
    <w:rsid w:val="004A46E2"/>
    <w:rsid w:val="004A5881"/>
    <w:rsid w:val="004B7E61"/>
    <w:rsid w:val="004E42C7"/>
    <w:rsid w:val="004F01B7"/>
    <w:rsid w:val="00525617"/>
    <w:rsid w:val="00537AA1"/>
    <w:rsid w:val="005523D6"/>
    <w:rsid w:val="005671C7"/>
    <w:rsid w:val="005D50F3"/>
    <w:rsid w:val="005E6830"/>
    <w:rsid w:val="00600AA1"/>
    <w:rsid w:val="006040BA"/>
    <w:rsid w:val="00615D03"/>
    <w:rsid w:val="00617E1C"/>
    <w:rsid w:val="00662598"/>
    <w:rsid w:val="00662863"/>
    <w:rsid w:val="006730EE"/>
    <w:rsid w:val="0067581B"/>
    <w:rsid w:val="00684280"/>
    <w:rsid w:val="00685D81"/>
    <w:rsid w:val="006A05E4"/>
    <w:rsid w:val="006B7F1D"/>
    <w:rsid w:val="006C7E6F"/>
    <w:rsid w:val="006E04D3"/>
    <w:rsid w:val="006E5945"/>
    <w:rsid w:val="006E6F30"/>
    <w:rsid w:val="006F0FF2"/>
    <w:rsid w:val="00712459"/>
    <w:rsid w:val="00713FA3"/>
    <w:rsid w:val="0071650C"/>
    <w:rsid w:val="00717264"/>
    <w:rsid w:val="007241BD"/>
    <w:rsid w:val="00740A6F"/>
    <w:rsid w:val="00754DFF"/>
    <w:rsid w:val="007876F1"/>
    <w:rsid w:val="007943A3"/>
    <w:rsid w:val="007A1956"/>
    <w:rsid w:val="007B62BF"/>
    <w:rsid w:val="007C4FDD"/>
    <w:rsid w:val="007D6517"/>
    <w:rsid w:val="007E0ABC"/>
    <w:rsid w:val="007E443F"/>
    <w:rsid w:val="007F0DF3"/>
    <w:rsid w:val="008530FC"/>
    <w:rsid w:val="00865803"/>
    <w:rsid w:val="008771E9"/>
    <w:rsid w:val="00882D20"/>
    <w:rsid w:val="008A2E1B"/>
    <w:rsid w:val="008A5539"/>
    <w:rsid w:val="008A7B07"/>
    <w:rsid w:val="008B4449"/>
    <w:rsid w:val="008B49E5"/>
    <w:rsid w:val="008B4F77"/>
    <w:rsid w:val="008B5269"/>
    <w:rsid w:val="008C05F5"/>
    <w:rsid w:val="008F0065"/>
    <w:rsid w:val="008F1B85"/>
    <w:rsid w:val="008F7EA9"/>
    <w:rsid w:val="00904E27"/>
    <w:rsid w:val="0094391A"/>
    <w:rsid w:val="00950570"/>
    <w:rsid w:val="00965005"/>
    <w:rsid w:val="00970804"/>
    <w:rsid w:val="00973A85"/>
    <w:rsid w:val="009762F1"/>
    <w:rsid w:val="00981D10"/>
    <w:rsid w:val="009834B8"/>
    <w:rsid w:val="00990B4D"/>
    <w:rsid w:val="00991FD7"/>
    <w:rsid w:val="009A06CA"/>
    <w:rsid w:val="009A07D1"/>
    <w:rsid w:val="009C6FA5"/>
    <w:rsid w:val="009E1825"/>
    <w:rsid w:val="00A00ABF"/>
    <w:rsid w:val="00A102BC"/>
    <w:rsid w:val="00A125B5"/>
    <w:rsid w:val="00A707B4"/>
    <w:rsid w:val="00A71388"/>
    <w:rsid w:val="00A83F8B"/>
    <w:rsid w:val="00A9553E"/>
    <w:rsid w:val="00A96A48"/>
    <w:rsid w:val="00AB0B9C"/>
    <w:rsid w:val="00AC746D"/>
    <w:rsid w:val="00AD1E32"/>
    <w:rsid w:val="00B038B7"/>
    <w:rsid w:val="00B06016"/>
    <w:rsid w:val="00B06D35"/>
    <w:rsid w:val="00B32F91"/>
    <w:rsid w:val="00B45FE9"/>
    <w:rsid w:val="00B509CA"/>
    <w:rsid w:val="00B625DD"/>
    <w:rsid w:val="00B774D6"/>
    <w:rsid w:val="00B91240"/>
    <w:rsid w:val="00BA20D3"/>
    <w:rsid w:val="00BA53A1"/>
    <w:rsid w:val="00BB1E7D"/>
    <w:rsid w:val="00BC4D1E"/>
    <w:rsid w:val="00BF401C"/>
    <w:rsid w:val="00C01724"/>
    <w:rsid w:val="00C02ACF"/>
    <w:rsid w:val="00C22525"/>
    <w:rsid w:val="00C250D3"/>
    <w:rsid w:val="00C528E8"/>
    <w:rsid w:val="00C6683D"/>
    <w:rsid w:val="00C71E8E"/>
    <w:rsid w:val="00C722C7"/>
    <w:rsid w:val="00C96654"/>
    <w:rsid w:val="00C97ACC"/>
    <w:rsid w:val="00CA3C35"/>
    <w:rsid w:val="00CB3042"/>
    <w:rsid w:val="00CB3D58"/>
    <w:rsid w:val="00CE51CC"/>
    <w:rsid w:val="00CF7539"/>
    <w:rsid w:val="00D15BC9"/>
    <w:rsid w:val="00D25603"/>
    <w:rsid w:val="00D327DA"/>
    <w:rsid w:val="00D3791D"/>
    <w:rsid w:val="00D523D9"/>
    <w:rsid w:val="00D55A26"/>
    <w:rsid w:val="00D66901"/>
    <w:rsid w:val="00D85D6C"/>
    <w:rsid w:val="00D872FC"/>
    <w:rsid w:val="00D94E63"/>
    <w:rsid w:val="00DA747A"/>
    <w:rsid w:val="00DB099C"/>
    <w:rsid w:val="00DC33A1"/>
    <w:rsid w:val="00DC60CA"/>
    <w:rsid w:val="00DE3BC0"/>
    <w:rsid w:val="00DF27CE"/>
    <w:rsid w:val="00E10987"/>
    <w:rsid w:val="00E123B6"/>
    <w:rsid w:val="00E214E2"/>
    <w:rsid w:val="00E42D37"/>
    <w:rsid w:val="00E4520E"/>
    <w:rsid w:val="00E472A4"/>
    <w:rsid w:val="00E5756B"/>
    <w:rsid w:val="00E75927"/>
    <w:rsid w:val="00E9706C"/>
    <w:rsid w:val="00EA2343"/>
    <w:rsid w:val="00EA3757"/>
    <w:rsid w:val="00EB3292"/>
    <w:rsid w:val="00ED4826"/>
    <w:rsid w:val="00EE57BB"/>
    <w:rsid w:val="00EF56E2"/>
    <w:rsid w:val="00F07A3F"/>
    <w:rsid w:val="00F12082"/>
    <w:rsid w:val="00F151A1"/>
    <w:rsid w:val="00F33B66"/>
    <w:rsid w:val="00F355C7"/>
    <w:rsid w:val="00F50FDD"/>
    <w:rsid w:val="00F56CFE"/>
    <w:rsid w:val="00F6410C"/>
    <w:rsid w:val="00F655D9"/>
    <w:rsid w:val="00F924F9"/>
    <w:rsid w:val="00FF1F20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AE2F"/>
  <w15:docId w15:val="{33CE938E-C18A-4CD5-9B3C-4596652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46D"/>
    <w:pPr>
      <w:ind w:left="720"/>
      <w:contextualSpacing/>
    </w:pPr>
  </w:style>
  <w:style w:type="paragraph" w:customStyle="1" w:styleId="owapara">
    <w:name w:val="owapara"/>
    <w:basedOn w:val="Normal"/>
    <w:rsid w:val="00990B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F401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23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757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803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1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7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66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1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93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6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673A1E87BC54AB8BE40465EB8E644" ma:contentTypeVersion="0" ma:contentTypeDescription="Create a new document." ma:contentTypeScope="" ma:versionID="a9beee463f88e2df48a3348c94ad48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B96E-F7E2-47C1-A313-93D5ACEDD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08283-982D-4F4A-AE3F-A18365CEFF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816D8F-A591-4679-98DA-FCCEC1EC2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74726-BB4D-4964-B017-74AF28B6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Resnick</dc:creator>
  <cp:lastModifiedBy>Erika Cravens (CRIST)</cp:lastModifiedBy>
  <cp:revision>5</cp:revision>
  <cp:lastPrinted>2012-04-11T17:39:00Z</cp:lastPrinted>
  <dcterms:created xsi:type="dcterms:W3CDTF">2014-03-31T19:49:00Z</dcterms:created>
  <dcterms:modified xsi:type="dcterms:W3CDTF">2014-04-07T23:32:00Z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0x010100811673A1E87BC54AB8BE40465EB8E644</vt:lpwstr>
  </property>
</Properties>
</file>